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64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headerReference r:id="rId5" w:type="default"/>
          <w:type w:val="continuous"/>
          <w:pgSz w:w="11910" w:h="16840"/>
          <w:pgMar w:top="700" w:right="1540" w:bottom="280" w:left="15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2"/>
        <w:rPr>
          <w:rFonts w:ascii="Times New Roman"/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681"/>
        </w:tabs>
        <w:spacing w:before="0" w:after="0" w:line="240" w:lineRule="auto"/>
        <w:ind w:left="680" w:right="0" w:hanging="421"/>
        <w:jc w:val="left"/>
      </w:pPr>
      <w:r>
        <w:t>产品优势</w:t>
      </w:r>
    </w:p>
    <w:p>
      <w:pPr>
        <w:spacing w:before="85"/>
        <w:ind w:right="0"/>
        <w:jc w:val="left"/>
        <w:rPr>
          <w:rFonts w:hint="eastAsia" w:ascii="Times New Roman" w:eastAsia="宋体"/>
          <w:b/>
          <w:sz w:val="36"/>
          <w:lang w:eastAsia="zh-CN"/>
        </w:rPr>
      </w:pPr>
      <w:r>
        <w:br w:type="column"/>
      </w:r>
      <w:r>
        <w:rPr>
          <w:rFonts w:hint="eastAsia" w:ascii="Times New Roman"/>
          <w:b w:val="0"/>
          <w:bCs/>
          <w:sz w:val="36"/>
          <w:lang w:val="en-US" w:eastAsia="zh-CN"/>
        </w:rPr>
        <w:t>MG-99</w:t>
      </w:r>
      <w:r>
        <w:rPr>
          <w:rFonts w:ascii="Times New Roman"/>
          <w:b w:val="0"/>
          <w:bCs/>
          <w:sz w:val="36"/>
        </w:rPr>
        <w:t>0</w:t>
      </w:r>
      <w:r>
        <w:rPr>
          <w:rFonts w:hint="eastAsia" w:ascii="Times New Roman"/>
          <w:b w:val="0"/>
          <w:bCs/>
          <w:sz w:val="36"/>
          <w:lang w:eastAsia="zh-CN"/>
        </w:rPr>
        <w:t>（粉质）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1910" w:h="16840"/>
          <w:pgMar w:top="700" w:right="1540" w:bottom="280" w:left="1540" w:header="720" w:footer="720" w:gutter="0"/>
          <w:cols w:equalWidth="0" w:num="2">
            <w:col w:w="1685" w:space="2018"/>
            <w:col w:w="5127"/>
          </w:cols>
        </w:sectPr>
      </w:pPr>
    </w:p>
    <w:p>
      <w:pPr>
        <w:pStyle w:val="3"/>
        <w:rPr>
          <w:rFonts w:ascii="Times New Roman"/>
          <w:b/>
          <w:sz w:val="7"/>
        </w:rPr>
      </w:pPr>
    </w:p>
    <w:p>
      <w:pPr>
        <w:tabs>
          <w:tab w:val="left" w:pos="2947"/>
        </w:tabs>
        <w:spacing w:line="240" w:lineRule="auto"/>
        <w:ind w:left="845" w:right="0" w:firstLine="0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10795</wp:posOffset>
                </wp:positionV>
                <wp:extent cx="0" cy="1372870"/>
                <wp:effectExtent l="4445" t="0" r="10795" b="1397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287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19.5pt;margin-top:0.85pt;height:108.1pt;width:0pt;mso-position-horizontal-relative:page;z-index:251660288;mso-width-relative:page;mso-height-relative:page;" filled="f" stroked="t" coordsize="21600,21600" o:gfxdata="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qs1I&#10;1wAAAAkBAAAPAAAAAAAAAAEAIAAAACIAAABkcnMvZG93bnJldi54bWxQSwECFAAUAAAACACHTuJA&#10;IuZfqukBAADbAwAADgAAAAAAAAABACAAAAAmAQAAZHJzL2Uyb0RvYy54bWxQSwUGAAAAAAYABgBZ&#10;AQAAg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3582035" cy="1373505"/>
                <wp:effectExtent l="4445" t="4445" r="13970" b="12700"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137350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26" w:after="0" w:line="280" w:lineRule="auto"/>
                              <w:ind w:left="520" w:right="102" w:hanging="42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加工过程中，胶料的焦烧时间延长，但不影响正</w:t>
                            </w:r>
                            <w:r>
                              <w:t>硫化时间，可保证加工安全性；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0" w:after="0" w:line="306" w:lineRule="exact"/>
                              <w:ind w:left="520" w:right="0" w:hanging="421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 xml:space="preserve">拉伸强度和伸长率均较高，接近 </w:t>
                            </w:r>
                            <w:r>
                              <w:rPr>
                                <w:rFonts w:ascii="Times New Roman" w:hAnsi="Times New Roman" w:eastAsia="Times New Roman"/>
                              </w:rPr>
                              <w:t>N660</w:t>
                            </w:r>
                            <w:r>
                              <w:t>；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53" w:after="0" w:line="278" w:lineRule="auto"/>
                              <w:ind w:left="520" w:right="102" w:hanging="420"/>
                              <w:jc w:val="left"/>
                            </w:pPr>
                            <w:r>
                              <w:rPr>
                                <w:spacing w:val="-6"/>
                              </w:rPr>
                              <w:t>模量中等，在橡胶中可大量使用，提高产品硬度</w:t>
                            </w:r>
                            <w:r>
                              <w:t>和定伸强度；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4" w:after="0" w:line="240" w:lineRule="auto"/>
                              <w:ind w:left="520" w:right="0" w:hanging="421"/>
                              <w:jc w:val="left"/>
                            </w:pPr>
                            <w:r>
                              <w:t>优异的耐老化、耐候性、耐紫外稳定性；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7" o:spid="_x0000_s1026" o:spt="202" type="#_x0000_t202" style="height:108.15pt;width:282.05pt;" filled="f" stroked="t" coordsize="21600,21600" o:gfxdata="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Ieu9dQAAAAFAQAADwAAAAAAAAAB&#10;ACAAAAAiAAAAZHJzL2Rvd25yZXYueG1sUEsBAhQAFAAAAAgAh07iQNqaNmEUAgAAMgQAAA4AAAAA&#10;AAAAAQAgAAAAIwEAAGRycy9lMm9Eb2MueG1sUEsFBgAAAAAGAAYAWQEAAKk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521"/>
                        </w:tabs>
                        <w:spacing w:before="26" w:after="0" w:line="280" w:lineRule="auto"/>
                        <w:ind w:left="520" w:right="102" w:hanging="420"/>
                        <w:jc w:val="left"/>
                      </w:pPr>
                      <w:r>
                        <w:rPr>
                          <w:spacing w:val="-5"/>
                        </w:rPr>
                        <w:t>加工过程中，胶料的焦烧时间延长，但不影响正</w:t>
                      </w:r>
                      <w:r>
                        <w:t>硫化时间，可保证加工安全性；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521"/>
                        </w:tabs>
                        <w:spacing w:before="0" w:after="0" w:line="306" w:lineRule="exact"/>
                        <w:ind w:left="520" w:right="0" w:hanging="421"/>
                        <w:jc w:val="left"/>
                      </w:pPr>
                      <w:r>
                        <w:rPr>
                          <w:spacing w:val="-5"/>
                        </w:rPr>
                        <w:t xml:space="preserve">拉伸强度和伸长率均较高，接近 </w:t>
                      </w:r>
                      <w:r>
                        <w:rPr>
                          <w:rFonts w:ascii="Times New Roman" w:hAnsi="Times New Roman" w:eastAsia="Times New Roman"/>
                        </w:rPr>
                        <w:t>N660</w:t>
                      </w:r>
                      <w:r>
                        <w:t>；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521"/>
                        </w:tabs>
                        <w:spacing w:before="53" w:after="0" w:line="278" w:lineRule="auto"/>
                        <w:ind w:left="520" w:right="102" w:hanging="420"/>
                        <w:jc w:val="left"/>
                      </w:pPr>
                      <w:r>
                        <w:rPr>
                          <w:spacing w:val="-6"/>
                        </w:rPr>
                        <w:t>模量中等，在橡胶中可大量使用，提高产品硬度</w:t>
                      </w:r>
                      <w:r>
                        <w:t>和定伸强度；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521"/>
                        </w:tabs>
                        <w:spacing w:before="4" w:after="0" w:line="240" w:lineRule="auto"/>
                        <w:ind w:left="520" w:right="0" w:hanging="421"/>
                        <w:jc w:val="left"/>
                      </w:pPr>
                      <w:r>
                        <w:t>优异的耐老化、耐候性、耐紫外稳定性；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position w:val="6"/>
          <w:sz w:val="20"/>
        </w:rPr>
        <w:tab/>
      </w:r>
    </w:p>
    <w:p>
      <w:pPr>
        <w:pStyle w:val="3"/>
        <w:spacing w:before="10"/>
        <w:rPr>
          <w:rFonts w:ascii="Times New Roman"/>
          <w:b/>
          <w:sz w:val="6"/>
        </w:rPr>
      </w:pPr>
    </w:p>
    <w:p>
      <w:pPr>
        <w:pStyle w:val="9"/>
        <w:numPr>
          <w:ilvl w:val="0"/>
          <w:numId w:val="1"/>
        </w:numPr>
        <w:tabs>
          <w:tab w:val="left" w:pos="681"/>
        </w:tabs>
        <w:spacing w:before="76" w:after="0" w:line="280" w:lineRule="auto"/>
        <w:ind w:left="680" w:right="257" w:hanging="420"/>
        <w:jc w:val="left"/>
        <w:rPr>
          <w:sz w:val="24"/>
        </w:rPr>
      </w:pPr>
      <w:r>
        <w:rPr>
          <w:b/>
          <w:spacing w:val="-2"/>
          <w:sz w:val="24"/>
        </w:rPr>
        <w:t>化学成分：</w:t>
      </w:r>
      <w:r>
        <w:rPr>
          <w:spacing w:val="-5"/>
          <w:sz w:val="24"/>
        </w:rPr>
        <w:t>本产品以废轮胎为主要原料，经高温裂解、超细粉碎、化学改性</w:t>
      </w:r>
      <w:r>
        <w:rPr>
          <w:sz w:val="24"/>
        </w:rPr>
        <w:t>等工艺制造而成，主要成分为碳。</w:t>
      </w:r>
    </w:p>
    <w:p>
      <w:pPr>
        <w:pStyle w:val="9"/>
        <w:numPr>
          <w:ilvl w:val="0"/>
          <w:numId w:val="1"/>
        </w:numPr>
        <w:tabs>
          <w:tab w:val="left" w:pos="681"/>
        </w:tabs>
        <w:spacing w:before="0" w:after="0" w:line="306" w:lineRule="exact"/>
        <w:ind w:left="680" w:right="0" w:hanging="421"/>
        <w:jc w:val="left"/>
        <w:rPr>
          <w:sz w:val="24"/>
        </w:rPr>
      </w:pPr>
      <w:r>
        <w:rPr>
          <w:b/>
          <w:sz w:val="24"/>
        </w:rPr>
        <w:t>外观：</w:t>
      </w:r>
      <w:r>
        <w:rPr>
          <w:sz w:val="24"/>
        </w:rPr>
        <w:t>黑色</w:t>
      </w:r>
      <w:r>
        <w:rPr>
          <w:rFonts w:hint="eastAsia"/>
          <w:sz w:val="24"/>
          <w:lang w:eastAsia="zh-CN"/>
        </w:rPr>
        <w:t>粒质</w:t>
      </w:r>
    </w:p>
    <w:p>
      <w:pPr>
        <w:pStyle w:val="2"/>
        <w:numPr>
          <w:ilvl w:val="0"/>
          <w:numId w:val="1"/>
        </w:numPr>
        <w:tabs>
          <w:tab w:val="left" w:pos="681"/>
        </w:tabs>
        <w:spacing w:before="52" w:after="0" w:line="240" w:lineRule="auto"/>
        <w:ind w:left="680" w:right="0" w:hanging="421"/>
        <w:jc w:val="left"/>
      </w:pPr>
      <w:r>
        <w:t>技术参数</w:t>
      </w:r>
    </w:p>
    <w:p>
      <w:pPr>
        <w:pStyle w:val="3"/>
        <w:rPr>
          <w:b/>
          <w:sz w:val="14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2550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253" w:type="dxa"/>
            <w:shd w:val="clear" w:color="auto" w:fill="92D050"/>
          </w:tcPr>
          <w:p>
            <w:pPr>
              <w:pStyle w:val="10"/>
              <w:spacing w:before="39"/>
              <w:ind w:right="491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检测项目</w:t>
            </w:r>
          </w:p>
        </w:tc>
        <w:tc>
          <w:tcPr>
            <w:tcW w:w="2550" w:type="dxa"/>
            <w:shd w:val="clear" w:color="auto" w:fill="92D050"/>
          </w:tcPr>
          <w:p>
            <w:pPr>
              <w:pStyle w:val="10"/>
              <w:spacing w:before="53"/>
              <w:ind w:left="973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eastAsia="zh-CN"/>
              </w:rPr>
              <w:t>指标</w:t>
            </w:r>
            <w:bookmarkStart w:id="0" w:name="_GoBack"/>
            <w:bookmarkEnd w:id="0"/>
          </w:p>
        </w:tc>
        <w:tc>
          <w:tcPr>
            <w:tcW w:w="2781" w:type="dxa"/>
            <w:shd w:val="clear" w:color="auto" w:fill="92D050"/>
          </w:tcPr>
          <w:p>
            <w:pPr>
              <w:pStyle w:val="10"/>
              <w:spacing w:before="39"/>
              <w:ind w:left="514" w:right="509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测试方法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253" w:type="dxa"/>
          </w:tcPr>
          <w:p>
            <w:pPr>
              <w:pStyle w:val="10"/>
              <w:spacing w:before="73"/>
              <w:ind w:right="491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*</w:t>
            </w:r>
            <w:r>
              <w:rPr>
                <w:sz w:val="21"/>
              </w:rPr>
              <w:t xml:space="preserve">DBP </w:t>
            </w:r>
            <w:r>
              <w:rPr>
                <w:rFonts w:hint="eastAsia" w:ascii="宋体" w:eastAsia="宋体"/>
                <w:sz w:val="21"/>
              </w:rPr>
              <w:t>吸收值，</w:t>
            </w:r>
            <w:r>
              <w:rPr>
                <w:sz w:val="21"/>
              </w:rPr>
              <w:t>cm</w:t>
            </w:r>
            <w:r>
              <w:rPr>
                <w:sz w:val="21"/>
                <w:vertAlign w:val="superscript"/>
              </w:rPr>
              <w:t>3</w:t>
            </w:r>
            <w:r>
              <w:rPr>
                <w:sz w:val="21"/>
                <w:vertAlign w:val="baseline"/>
              </w:rPr>
              <w:t>/100g</w:t>
            </w:r>
          </w:p>
        </w:tc>
        <w:tc>
          <w:tcPr>
            <w:tcW w:w="2550" w:type="dxa"/>
          </w:tcPr>
          <w:p>
            <w:pPr>
              <w:pStyle w:val="10"/>
              <w:spacing w:before="73"/>
              <w:ind w:left="1007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7</w:t>
            </w:r>
          </w:p>
        </w:tc>
        <w:tc>
          <w:tcPr>
            <w:tcW w:w="2781" w:type="dxa"/>
          </w:tcPr>
          <w:p>
            <w:pPr>
              <w:pStyle w:val="10"/>
              <w:spacing w:before="84"/>
              <w:ind w:left="516" w:right="509"/>
              <w:jc w:val="center"/>
              <w:rPr>
                <w:sz w:val="21"/>
              </w:rPr>
            </w:pPr>
            <w:r>
              <w:rPr>
                <w:sz w:val="21"/>
              </w:rPr>
              <w:t>GB/T 3780.2-2017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53" w:type="dxa"/>
          </w:tcPr>
          <w:p>
            <w:pPr>
              <w:pStyle w:val="10"/>
              <w:spacing w:before="56"/>
              <w:ind w:right="489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  <w:r>
              <w:rPr>
                <w:rFonts w:hint="eastAsia" w:ascii="宋体" w:hAnsi="宋体" w:eastAsia="宋体"/>
                <w:sz w:val="21"/>
              </w:rPr>
              <w:t>℃加热减量，</w:t>
            </w:r>
            <w:r>
              <w:rPr>
                <w:sz w:val="21"/>
              </w:rPr>
              <w:t>%</w:t>
            </w:r>
          </w:p>
        </w:tc>
        <w:tc>
          <w:tcPr>
            <w:tcW w:w="2550" w:type="dxa"/>
          </w:tcPr>
          <w:p>
            <w:pPr>
              <w:pStyle w:val="10"/>
              <w:spacing w:before="67"/>
              <w:ind w:left="1055"/>
              <w:rPr>
                <w:sz w:val="21"/>
              </w:rPr>
            </w:pPr>
            <w:r>
              <w:rPr>
                <w:sz w:val="21"/>
              </w:rPr>
              <w:t>≤ 2.0</w:t>
            </w:r>
          </w:p>
        </w:tc>
        <w:tc>
          <w:tcPr>
            <w:tcW w:w="2781" w:type="dxa"/>
          </w:tcPr>
          <w:p>
            <w:pPr>
              <w:pStyle w:val="10"/>
              <w:spacing w:before="67"/>
              <w:ind w:left="516" w:right="509"/>
              <w:jc w:val="center"/>
              <w:rPr>
                <w:sz w:val="21"/>
              </w:rPr>
            </w:pPr>
            <w:r>
              <w:rPr>
                <w:sz w:val="21"/>
              </w:rPr>
              <w:t>GB/T 3780.8-2019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253" w:type="dxa"/>
          </w:tcPr>
          <w:p>
            <w:pPr>
              <w:pStyle w:val="10"/>
              <w:spacing w:before="49"/>
              <w:ind w:right="490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灰分，</w:t>
            </w:r>
            <w:r>
              <w:rPr>
                <w:sz w:val="21"/>
              </w:rPr>
              <w:t>%</w:t>
            </w:r>
          </w:p>
        </w:tc>
        <w:tc>
          <w:tcPr>
            <w:tcW w:w="2550" w:type="dxa"/>
          </w:tcPr>
          <w:p>
            <w:pPr>
              <w:pStyle w:val="10"/>
              <w:ind w:left="1002"/>
              <w:rPr>
                <w:sz w:val="21"/>
              </w:rPr>
            </w:pPr>
            <w:r>
              <w:rPr>
                <w:sz w:val="21"/>
              </w:rPr>
              <w:t>≤ 2</w:t>
            </w: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.0</w:t>
            </w:r>
          </w:p>
        </w:tc>
        <w:tc>
          <w:tcPr>
            <w:tcW w:w="2781" w:type="dxa"/>
          </w:tcPr>
          <w:p>
            <w:pPr>
              <w:pStyle w:val="10"/>
              <w:ind w:left="517" w:right="509"/>
              <w:jc w:val="center"/>
              <w:rPr>
                <w:sz w:val="21"/>
              </w:rPr>
            </w:pPr>
            <w:r>
              <w:rPr>
                <w:sz w:val="21"/>
              </w:rPr>
              <w:t>GB/T 3780.10-2017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253" w:type="dxa"/>
          </w:tcPr>
          <w:p>
            <w:pPr>
              <w:pStyle w:val="10"/>
              <w:spacing w:before="85"/>
              <w:ind w:left="500" w:right="49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45μm </w:t>
            </w:r>
            <w:r>
              <w:rPr>
                <w:rFonts w:hint="eastAsia" w:ascii="宋体" w:hAnsi="宋体" w:eastAsia="宋体"/>
                <w:sz w:val="21"/>
              </w:rPr>
              <w:t>筛余物，</w:t>
            </w:r>
            <w:r>
              <w:rPr>
                <w:sz w:val="21"/>
              </w:rPr>
              <w:t>ppm</w:t>
            </w:r>
          </w:p>
        </w:tc>
        <w:tc>
          <w:tcPr>
            <w:tcW w:w="2550" w:type="dxa"/>
          </w:tcPr>
          <w:p>
            <w:pPr>
              <w:pStyle w:val="10"/>
              <w:spacing w:before="96"/>
              <w:ind w:firstLine="420" w:firstLineChars="2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-</w:t>
            </w:r>
          </w:p>
        </w:tc>
        <w:tc>
          <w:tcPr>
            <w:tcW w:w="2781" w:type="dxa"/>
          </w:tcPr>
          <w:p>
            <w:pPr>
              <w:pStyle w:val="10"/>
              <w:spacing w:before="96"/>
              <w:ind w:left="517" w:right="509"/>
              <w:jc w:val="center"/>
              <w:rPr>
                <w:sz w:val="21"/>
              </w:rPr>
            </w:pPr>
            <w:r>
              <w:rPr>
                <w:sz w:val="21"/>
              </w:rPr>
              <w:t>GB/T 3780.21-2016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253" w:type="dxa"/>
          </w:tcPr>
          <w:p>
            <w:pPr>
              <w:pStyle w:val="10"/>
              <w:spacing w:before="49"/>
              <w:ind w:right="491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拉伸强度，</w:t>
            </w:r>
            <w:r>
              <w:rPr>
                <w:sz w:val="21"/>
              </w:rPr>
              <w:t>MPa</w:t>
            </w:r>
          </w:p>
        </w:tc>
        <w:tc>
          <w:tcPr>
            <w:tcW w:w="2550" w:type="dxa"/>
          </w:tcPr>
          <w:p>
            <w:pPr>
              <w:pStyle w:val="10"/>
              <w:ind w:left="1002"/>
              <w:rPr>
                <w:sz w:val="21"/>
              </w:rPr>
            </w:pPr>
            <w:r>
              <w:rPr>
                <w:sz w:val="21"/>
              </w:rPr>
              <w:t>≥ 18.0</w:t>
            </w:r>
          </w:p>
        </w:tc>
        <w:tc>
          <w:tcPr>
            <w:tcW w:w="2781" w:type="dxa"/>
            <w:vMerge w:val="restart"/>
          </w:tcPr>
          <w:p>
            <w:pPr>
              <w:pStyle w:val="10"/>
              <w:spacing w:before="0"/>
              <w:ind w:left="0"/>
              <w:rPr>
                <w:rFonts w:ascii="宋体"/>
                <w:b/>
                <w:sz w:val="22"/>
              </w:rPr>
            </w:pPr>
          </w:p>
          <w:p>
            <w:pPr>
              <w:pStyle w:val="10"/>
              <w:spacing w:before="4"/>
              <w:ind w:left="0"/>
              <w:rPr>
                <w:rFonts w:ascii="宋体"/>
                <w:b/>
                <w:sz w:val="18"/>
              </w:rPr>
            </w:pPr>
          </w:p>
          <w:p>
            <w:pPr>
              <w:pStyle w:val="10"/>
              <w:spacing w:before="0"/>
              <w:ind w:left="538"/>
              <w:rPr>
                <w:sz w:val="21"/>
              </w:rPr>
            </w:pPr>
            <w:r>
              <w:rPr>
                <w:sz w:val="21"/>
              </w:rPr>
              <w:t>GB/T 3780.18-2017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53" w:type="dxa"/>
          </w:tcPr>
          <w:p>
            <w:pPr>
              <w:pStyle w:val="10"/>
              <w:spacing w:before="90"/>
              <w:ind w:left="500" w:right="491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扯断伸长率，</w:t>
            </w:r>
            <w:r>
              <w:rPr>
                <w:sz w:val="21"/>
              </w:rPr>
              <w:t>%</w:t>
            </w:r>
          </w:p>
        </w:tc>
        <w:tc>
          <w:tcPr>
            <w:tcW w:w="2550" w:type="dxa"/>
          </w:tcPr>
          <w:p>
            <w:pPr>
              <w:pStyle w:val="10"/>
              <w:spacing w:before="101"/>
              <w:ind w:left="1055"/>
              <w:rPr>
                <w:sz w:val="21"/>
              </w:rPr>
            </w:pPr>
            <w:r>
              <w:rPr>
                <w:sz w:val="21"/>
              </w:rPr>
              <w:t>≥4</w:t>
            </w: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  <w:r>
              <w:rPr>
                <w:sz w:val="21"/>
              </w:rPr>
              <w:t>0</w:t>
            </w:r>
          </w:p>
        </w:tc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53" w:type="dxa"/>
          </w:tcPr>
          <w:p>
            <w:pPr>
              <w:pStyle w:val="10"/>
              <w:spacing w:before="90"/>
              <w:ind w:right="491"/>
              <w:jc w:val="center"/>
              <w:rPr>
                <w:sz w:val="21"/>
              </w:rPr>
            </w:pPr>
            <w:r>
              <w:rPr>
                <w:sz w:val="21"/>
              </w:rPr>
              <w:t>300%</w:t>
            </w:r>
            <w:r>
              <w:rPr>
                <w:rFonts w:hint="eastAsia" w:ascii="宋体" w:eastAsia="宋体"/>
                <w:sz w:val="21"/>
              </w:rPr>
              <w:t>定伸应力，</w:t>
            </w:r>
            <w:r>
              <w:rPr>
                <w:sz w:val="21"/>
              </w:rPr>
              <w:t>MPa</w:t>
            </w:r>
          </w:p>
        </w:tc>
        <w:tc>
          <w:tcPr>
            <w:tcW w:w="2550" w:type="dxa"/>
          </w:tcPr>
          <w:p>
            <w:pPr>
              <w:pStyle w:val="10"/>
              <w:spacing w:before="101"/>
              <w:ind w:left="1055"/>
              <w:rPr>
                <w:sz w:val="21"/>
              </w:rPr>
            </w:pPr>
            <w:r>
              <w:rPr>
                <w:sz w:val="21"/>
              </w:rPr>
              <w:t xml:space="preserve">≥ </w:t>
            </w: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  <w:r>
              <w:rPr>
                <w:sz w:val="21"/>
              </w:rPr>
              <w:t>.0</w:t>
            </w:r>
          </w:p>
        </w:tc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584" w:type="dxa"/>
            <w:gridSpan w:val="3"/>
          </w:tcPr>
          <w:p>
            <w:pPr>
              <w:pStyle w:val="10"/>
              <w:spacing w:before="22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828"/>
              </w:tabs>
              <w:spacing w:before="43" w:after="0" w:line="240" w:lineRule="auto"/>
              <w:ind w:left="827" w:right="0" w:hanging="361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标注</w:t>
            </w:r>
            <w:r>
              <w:rPr>
                <w:rFonts w:hint="eastAsia" w:ascii="宋体" w:eastAsia="宋体"/>
                <w:spacing w:val="-3"/>
                <w:sz w:val="21"/>
              </w:rPr>
              <w:t>*项目仅作为参考，不作为判定项目。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828"/>
              </w:tabs>
              <w:spacing w:before="2" w:after="0" w:line="310" w:lineRule="atLeast"/>
              <w:ind w:left="827" w:right="105" w:hanging="360"/>
              <w:jc w:val="lef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pacing w:val="-1"/>
                <w:sz w:val="21"/>
              </w:rPr>
              <w:t>物性数据是用国标中开炼机法测试，因测试环境不同，拉伸强度和定伸应力允许偏</w:t>
            </w:r>
            <w:r>
              <w:rPr>
                <w:rFonts w:hint="eastAsia" w:ascii="宋体" w:hAnsi="宋体" w:eastAsia="宋体"/>
                <w:sz w:val="21"/>
              </w:rPr>
              <w:t>差±</w:t>
            </w:r>
            <w:r>
              <w:rPr>
                <w:sz w:val="21"/>
              </w:rPr>
              <w:t>1.5MPa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，伸长率允许偏差±</w:t>
            </w:r>
            <w:r>
              <w:rPr>
                <w:sz w:val="21"/>
              </w:rPr>
              <w:t>20%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。</w:t>
            </w: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681"/>
        </w:tabs>
        <w:spacing w:before="156" w:after="0" w:line="240" w:lineRule="auto"/>
        <w:ind w:left="680" w:right="0" w:hanging="421"/>
        <w:jc w:val="left"/>
        <w:rPr>
          <w:b/>
          <w:sz w:val="24"/>
        </w:rPr>
      </w:pPr>
      <w:r>
        <w:rPr>
          <w:b/>
          <w:sz w:val="24"/>
        </w:rPr>
        <w:t>产品用途：</w:t>
      </w:r>
    </w:p>
    <w:p>
      <w:pPr>
        <w:pStyle w:val="3"/>
        <w:spacing w:before="31"/>
        <w:ind w:left="680"/>
      </w:pPr>
      <w:r>
        <w:rPr>
          <w:rFonts w:ascii="Times New Roman" w:eastAsia="Times New Roman"/>
        </w:rPr>
        <w:t>1</w:t>
      </w:r>
      <w:r>
        <w:t>、可应用于轮胎中的垫带、内胎、气密层、过渡层等部位上；</w:t>
      </w:r>
    </w:p>
    <w:p>
      <w:pPr>
        <w:pStyle w:val="3"/>
        <w:spacing w:before="23"/>
        <w:ind w:left="680"/>
      </w:pPr>
      <w:r>
        <w:rPr>
          <w:rFonts w:ascii="Times New Roman" w:eastAsia="Times New Roman"/>
        </w:rPr>
        <w:t>2</w:t>
      </w:r>
      <w:r>
        <w:t>、可应用于输送带、传动带、胶管等橡胶制品中；</w:t>
      </w:r>
    </w:p>
    <w:p>
      <w:pPr>
        <w:pStyle w:val="3"/>
        <w:spacing w:before="5"/>
        <w:ind w:left="680"/>
        <w:rPr>
          <w:sz w:val="28"/>
        </w:rPr>
      </w:pPr>
      <w:r>
        <w:rPr>
          <w:rFonts w:ascii="Times New Roman" w:eastAsia="Times New Roman"/>
        </w:rPr>
        <w:t>3</w:t>
      </w:r>
      <w:r>
        <w:t>、可应用于密封件、工程橡胶等橡胶制品。</w:t>
      </w:r>
      <w:r>
        <w:rPr>
          <w:w w:val="100"/>
          <w:sz w:val="28"/>
        </w:rPr>
        <w:t xml:space="preserve"> </w:t>
      </w:r>
    </w:p>
    <w:p>
      <w:pPr>
        <w:pStyle w:val="2"/>
        <w:numPr>
          <w:ilvl w:val="0"/>
          <w:numId w:val="1"/>
        </w:numPr>
        <w:tabs>
          <w:tab w:val="left" w:pos="681"/>
        </w:tabs>
        <w:spacing w:before="31" w:after="0" w:line="240" w:lineRule="auto"/>
        <w:ind w:left="680" w:right="0" w:hanging="421"/>
        <w:jc w:val="left"/>
      </w:pPr>
      <w:r>
        <w:t>使用方法：</w:t>
      </w:r>
    </w:p>
    <w:p>
      <w:pPr>
        <w:pStyle w:val="3"/>
        <w:spacing w:before="53"/>
        <w:ind w:left="740"/>
      </w:pPr>
      <w:r>
        <w:t xml:space="preserve">可替代 </w:t>
      </w:r>
      <w:r>
        <w:rPr>
          <w:rFonts w:ascii="Times New Roman" w:eastAsia="Times New Roman"/>
        </w:rPr>
        <w:t>N660</w:t>
      </w:r>
      <w:r>
        <w:t>等系列的工业炭黑。</w:t>
      </w:r>
    </w:p>
    <w:p>
      <w:pPr>
        <w:pStyle w:val="9"/>
        <w:numPr>
          <w:ilvl w:val="0"/>
          <w:numId w:val="1"/>
        </w:numPr>
        <w:tabs>
          <w:tab w:val="left" w:pos="681"/>
        </w:tabs>
        <w:spacing w:before="50" w:after="0" w:line="240" w:lineRule="auto"/>
        <w:ind w:left="680" w:right="0" w:hanging="421"/>
        <w:jc w:val="left"/>
        <w:rPr>
          <w:sz w:val="24"/>
        </w:rPr>
      </w:pPr>
      <w:r>
        <w:rPr>
          <w:b/>
          <w:sz w:val="24"/>
        </w:rPr>
        <w:t>贮存：</w:t>
      </w:r>
      <w:r>
        <w:rPr>
          <w:spacing w:val="-1"/>
          <w:sz w:val="24"/>
        </w:rPr>
        <w:t>应储存于干燥、通风的仓库中。</w:t>
      </w:r>
    </w:p>
    <w:p>
      <w:pPr>
        <w:pStyle w:val="9"/>
        <w:numPr>
          <w:ilvl w:val="0"/>
          <w:numId w:val="1"/>
        </w:numPr>
        <w:tabs>
          <w:tab w:val="left" w:pos="681"/>
        </w:tabs>
        <w:spacing w:before="52" w:after="0" w:line="240" w:lineRule="auto"/>
        <w:ind w:left="680" w:right="0" w:hanging="421"/>
        <w:jc w:val="left"/>
        <w:rPr>
          <w:sz w:val="24"/>
        </w:rPr>
      </w:pPr>
      <w:r>
        <w:rPr>
          <w:b/>
          <w:sz w:val="24"/>
        </w:rPr>
        <w:t xml:space="preserve">包装： </w:t>
      </w:r>
      <w:r>
        <w:rPr>
          <w:rFonts w:hint="eastAsia" w:ascii="Times New Roman" w:hAnsi="Times New Roman"/>
          <w:sz w:val="24"/>
          <w:lang w:val="en-US" w:eastAsia="zh-CN"/>
        </w:rPr>
        <w:t>25kg、</w:t>
      </w:r>
      <w:r>
        <w:rPr>
          <w:sz w:val="24"/>
        </w:rPr>
        <w:t>吨包。</w:t>
      </w:r>
    </w:p>
    <w:sectPr>
      <w:type w:val="continuous"/>
      <w:pgSz w:w="11910" w:h="16840"/>
      <w:pgMar w:top="700" w:right="1540" w:bottom="2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reeDEmboss" w:color="auto" w:sz="18" w:space="1"/>
      </w:pBdr>
      <w:rPr>
        <w:rFonts w:hint="eastAsia" w:ascii="仿宋" w:hAnsi="仿宋" w:eastAsia="仿宋" w:cs="仿宋"/>
        <w:b/>
        <w:bCs/>
        <w:i w:val="0"/>
        <w:iCs w:val="0"/>
        <w:color w:val="auto"/>
        <w:sz w:val="28"/>
        <w:szCs w:val="28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i/>
        <w:iCs/>
        <w:color w:val="267540"/>
        <w:sz w:val="40"/>
        <w:szCs w:val="40"/>
        <w:lang w:val="en-US" w:eastAsia="zh-CN"/>
      </w:rPr>
      <w:t xml:space="preserve">   </w:t>
    </w:r>
    <w:r>
      <w:rPr>
        <w:rFonts w:hint="eastAsia" w:ascii="仿宋" w:hAnsi="仿宋" w:eastAsia="仿宋" w:cs="仿宋"/>
        <w:b/>
        <w:bCs/>
        <w:i/>
        <w:iCs/>
        <w:color w:val="267540"/>
        <w:sz w:val="28"/>
        <w:szCs w:val="28"/>
        <w:lang w:val="en-US" w:eastAsia="zh-CN"/>
      </w:rPr>
      <w:t>郑州瑞冠实业</w:t>
    </w:r>
    <w:r>
      <w:rPr>
        <w:rFonts w:hint="eastAsia" w:ascii="仿宋" w:hAnsi="仿宋" w:eastAsia="仿宋" w:cs="仿宋"/>
        <w:b/>
        <w:bCs/>
        <w:i/>
        <w:iCs/>
        <w:color w:val="267540"/>
        <w:sz w:val="40"/>
        <w:szCs w:val="4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i/>
        <w:iCs/>
        <w:color w:val="267540"/>
        <w:sz w:val="40"/>
        <w:szCs w:val="40"/>
        <w:lang w:val="en-US" w:eastAsia="zh-CN"/>
      </w:rPr>
      <w:t xml:space="preserve">                             </w:t>
    </w:r>
    <w:r>
      <w:rPr>
        <w:rFonts w:hint="eastAsia" w:ascii="仿宋" w:hAnsi="仿宋" w:eastAsia="仿宋" w:cs="仿宋"/>
        <w:b/>
        <w:bCs/>
        <w:i w:val="0"/>
        <w:iCs w:val="0"/>
        <w:color w:val="auto"/>
        <w:sz w:val="52"/>
        <w:szCs w:val="52"/>
        <w:lang w:val="en-US" w:eastAsia="zh-CN"/>
      </w:rPr>
      <w:t xml:space="preserve"> </w:t>
    </w:r>
    <w:r>
      <w:rPr>
        <w:rFonts w:hint="eastAsia" w:ascii="仿宋" w:hAnsi="仿宋" w:eastAsia="仿宋" w:cs="仿宋"/>
        <w:b/>
        <w:bCs/>
        <w:i w:val="0"/>
        <w:iCs w:val="0"/>
        <w:color w:val="auto"/>
        <w:sz w:val="28"/>
        <w:szCs w:val="28"/>
        <w:lang w:val="en-US" w:eastAsia="zh-CN"/>
      </w:rPr>
      <w:t>MG-990产品说明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5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21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7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7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47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0"/>
      <w:numFmt w:val="bullet"/>
      <w:lvlText w:val=""/>
      <w:lvlJc w:val="left"/>
      <w:pPr>
        <w:ind w:left="680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80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1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82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82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83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3" w:hanging="420"/>
      </w:pPr>
      <w:rPr>
        <w:rFonts w:hint="default"/>
        <w:lang w:val="zh-CN" w:eastAsia="zh-CN" w:bidi="zh-CN"/>
      </w:rPr>
    </w:lvl>
  </w:abstractNum>
  <w:abstractNum w:abstractNumId="2">
    <w:nsid w:val="72183CF9"/>
    <w:multiLevelType w:val="multilevel"/>
    <w:tmpl w:val="72183CF9"/>
    <w:lvl w:ilvl="0" w:tentative="0">
      <w:start w:val="0"/>
      <w:numFmt w:val="bullet"/>
      <w:lvlText w:val=""/>
      <w:lvlJc w:val="left"/>
      <w:pPr>
        <w:ind w:left="520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1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42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5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6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75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86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9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09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TgwZjNmZTk3ZTkyYWI1ZjRhNWEwZWQyZjY4ZmIifQ=="/>
  </w:docVars>
  <w:rsids>
    <w:rsidRoot w:val="00000000"/>
    <w:rsid w:val="08AC6809"/>
    <w:rsid w:val="08EF158C"/>
    <w:rsid w:val="136C4963"/>
    <w:rsid w:val="19377712"/>
    <w:rsid w:val="41A81CDC"/>
    <w:rsid w:val="6E2B59C6"/>
    <w:rsid w:val="76BD46D0"/>
    <w:rsid w:val="7AAF4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0" w:hanging="421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80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60"/>
      <w:ind w:left="501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461</Characters>
  <TotalTime>2</TotalTime>
  <ScaleCrop>false</ScaleCrop>
  <LinksUpToDate>false</LinksUpToDate>
  <CharactersWithSpaces>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2021-11-16T01:33:00Z</dcterms:created>
  <dc:creator>Windows 用户</dc:creator>
  <cp:lastModifiedBy>百基拉</cp:lastModifiedBy>
  <cp:lastPrinted>2022-12-16T04:32:00Z</cp:lastPrinted>
  <dcterms:modified xsi:type="dcterms:W3CDTF">2022-12-16T04:57:45Z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A607EDADD42D4CD79225E489CEE74BD6</vt:lpwstr>
  </property>
</Properties>
</file>